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6A265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A265A" w:rsidRDefault="00165C9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65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265A" w:rsidRDefault="00165C9A">
            <w:pPr>
              <w:pStyle w:val="ConsPlusTitlePage0"/>
              <w:jc w:val="center"/>
            </w:pPr>
            <w:r>
              <w:rPr>
                <w:sz w:val="48"/>
              </w:rPr>
              <w:t>Приказ ФАС России от 27.12.2022 N 1034/22</w:t>
            </w:r>
            <w:r>
              <w:rPr>
                <w:sz w:val="48"/>
              </w:rPr>
              <w:br/>
              <w:t>"Об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комплаенса"</w:t>
            </w:r>
          </w:p>
        </w:tc>
      </w:tr>
      <w:tr w:rsidR="006A265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265A" w:rsidRDefault="00165C9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A265A" w:rsidRDefault="006A265A">
      <w:pPr>
        <w:pStyle w:val="ConsPlusNormal0"/>
        <w:sectPr w:rsidR="006A265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A265A" w:rsidRDefault="006A265A">
      <w:pPr>
        <w:pStyle w:val="ConsPlusNormal0"/>
        <w:jc w:val="both"/>
        <w:outlineLvl w:val="0"/>
      </w:pPr>
    </w:p>
    <w:p w:rsidR="006A265A" w:rsidRDefault="00165C9A">
      <w:pPr>
        <w:pStyle w:val="ConsPlusTitle0"/>
        <w:jc w:val="center"/>
        <w:outlineLvl w:val="0"/>
      </w:pPr>
      <w:r>
        <w:t>ФЕДЕРАЛЬНАЯ АНТИМОНОПОЛЬНАЯ СЛУЖБА</w:t>
      </w:r>
    </w:p>
    <w:p w:rsidR="006A265A" w:rsidRDefault="006A265A">
      <w:pPr>
        <w:pStyle w:val="ConsPlusTitle0"/>
        <w:jc w:val="center"/>
      </w:pPr>
    </w:p>
    <w:p w:rsidR="006A265A" w:rsidRDefault="00165C9A">
      <w:pPr>
        <w:pStyle w:val="ConsPlusTitle0"/>
        <w:jc w:val="center"/>
      </w:pPr>
      <w:r>
        <w:t>ПРИКАЗ</w:t>
      </w:r>
    </w:p>
    <w:p w:rsidR="006A265A" w:rsidRDefault="00165C9A">
      <w:pPr>
        <w:pStyle w:val="ConsPlusTitle0"/>
        <w:jc w:val="center"/>
      </w:pPr>
      <w:r>
        <w:t>от 27 декабря 2022 г. N 1034/22</w:t>
      </w:r>
    </w:p>
    <w:p w:rsidR="006A265A" w:rsidRDefault="006A265A">
      <w:pPr>
        <w:pStyle w:val="ConsPlusTitle0"/>
        <w:jc w:val="center"/>
      </w:pPr>
    </w:p>
    <w:p w:rsidR="006A265A" w:rsidRDefault="00165C9A">
      <w:pPr>
        <w:pStyle w:val="ConsPlusTitle0"/>
        <w:jc w:val="center"/>
      </w:pPr>
      <w:r>
        <w:t>ОБ УТВЕРЖДЕНИИ МЕТОДИКИ</w:t>
      </w:r>
    </w:p>
    <w:p w:rsidR="006A265A" w:rsidRDefault="00165C9A">
      <w:pPr>
        <w:pStyle w:val="ConsPlusTitle0"/>
        <w:jc w:val="center"/>
      </w:pPr>
      <w:r>
        <w:t>РАСЧЕТА КЛЮЧЕВЫХ ПОКАЗАТЕЛЕЙ ЭФФЕКТИВНОСТИ</w:t>
      </w:r>
    </w:p>
    <w:p w:rsidR="006A265A" w:rsidRDefault="00165C9A">
      <w:pPr>
        <w:pStyle w:val="ConsPlusTitle0"/>
        <w:jc w:val="center"/>
      </w:pPr>
      <w:r>
        <w:t>ФУНКЦИОНИРОВАНИЯ В ФЕДЕРАЛЬНОМ ОРГАНЕ ИСПОЛНИТЕЛЬНОЙ</w:t>
      </w:r>
    </w:p>
    <w:p w:rsidR="006A265A" w:rsidRDefault="00165C9A">
      <w:pPr>
        <w:pStyle w:val="ConsPlusTitle0"/>
        <w:jc w:val="center"/>
      </w:pPr>
      <w:r>
        <w:t>ВЛАСТИ АНТИМОНОПОЛЬНОГО КОМПЛАЕНСА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пунктом 29</w:t>
        </w:r>
      </w:hyperlink>
      <w:r>
        <w:t xml:space="preserve"> распоряжения Правительства Российской Федерации от 18 октября 2018 года N 2258-р приказываю: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1. Утвердить Методику расчета ключевых показателей эффективности функционирования в федеральном органе исполнительной власти антимонопольного комплаенса (далее - Методика) согласно </w:t>
      </w:r>
      <w:hyperlink r:id="rId10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2. Определить, что </w:t>
      </w:r>
      <w:hyperlink w:anchor="P28" w:tooltip="МЕТОДИКА">
        <w:r>
          <w:rPr>
            <w:color w:val="0000FF"/>
          </w:rPr>
          <w:t>Методика</w:t>
        </w:r>
      </w:hyperlink>
      <w:r>
        <w:t xml:space="preserve"> подлежит применению при установлении ключевых показателей эффективности функционирования в федеральном орган</w:t>
      </w:r>
      <w:r>
        <w:t>е исполнительной власти антимонопольного комплаенса с 1 января 2023 года.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3. </w:t>
      </w:r>
      <w:hyperlink r:id="rId11" w:tooltip="Приказ ФАС России от 05.02.2019 N 133/19 &quot;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ФАС России от 5 февраля 2019 года N 133/19 "Об утверждении методики расчет</w:t>
      </w:r>
      <w:r>
        <w:t>а ключевых показателей эффективности функционирования в федеральном органе исполнительной власти антимонопольного комплаенса" признать утратившим силу.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4. Контроль исполнения настоящего приказа оставляю за собой.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jc w:val="right"/>
      </w:pPr>
      <w:r>
        <w:t>Руководитель</w:t>
      </w:r>
    </w:p>
    <w:p w:rsidR="006A265A" w:rsidRDefault="00165C9A">
      <w:pPr>
        <w:pStyle w:val="ConsPlusNormal0"/>
        <w:jc w:val="right"/>
      </w:pPr>
      <w:r>
        <w:t>М.А.ШАСКОЛЬСКИЙ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6A265A">
      <w:pPr>
        <w:pStyle w:val="ConsPlusNormal0"/>
        <w:ind w:firstLine="540"/>
        <w:jc w:val="both"/>
      </w:pPr>
    </w:p>
    <w:p w:rsidR="006A265A" w:rsidRDefault="006A265A">
      <w:pPr>
        <w:pStyle w:val="ConsPlusNormal0"/>
        <w:ind w:firstLine="540"/>
        <w:jc w:val="both"/>
      </w:pPr>
    </w:p>
    <w:p w:rsidR="006A265A" w:rsidRDefault="006A265A">
      <w:pPr>
        <w:pStyle w:val="ConsPlusNormal0"/>
        <w:ind w:firstLine="540"/>
        <w:jc w:val="both"/>
      </w:pP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jc w:val="right"/>
        <w:outlineLvl w:val="0"/>
      </w:pPr>
      <w:r>
        <w:t>Приложен</w:t>
      </w:r>
      <w:r>
        <w:t>ие</w:t>
      </w:r>
    </w:p>
    <w:p w:rsidR="006A265A" w:rsidRDefault="00165C9A">
      <w:pPr>
        <w:pStyle w:val="ConsPlusNormal0"/>
        <w:jc w:val="right"/>
      </w:pPr>
      <w:r>
        <w:t>к приказу ФАС России</w:t>
      </w:r>
    </w:p>
    <w:p w:rsidR="006A265A" w:rsidRDefault="00165C9A">
      <w:pPr>
        <w:pStyle w:val="ConsPlusNormal0"/>
        <w:jc w:val="right"/>
      </w:pPr>
      <w:r>
        <w:t>от 27.12.2022 N 1034/22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Title0"/>
        <w:jc w:val="center"/>
      </w:pPr>
      <w:bookmarkStart w:id="0" w:name="P28"/>
      <w:bookmarkEnd w:id="0"/>
      <w:r>
        <w:t>МЕТОДИКА</w:t>
      </w:r>
    </w:p>
    <w:p w:rsidR="006A265A" w:rsidRDefault="00165C9A">
      <w:pPr>
        <w:pStyle w:val="ConsPlusTitle0"/>
        <w:jc w:val="center"/>
      </w:pPr>
      <w:r>
        <w:t>РАСЧЕТА КЛЮЧЕВЫХ ПОКАЗАТЕЛЕЙ ЭФФЕКТИВНОСТИ</w:t>
      </w:r>
    </w:p>
    <w:p w:rsidR="006A265A" w:rsidRDefault="00165C9A">
      <w:pPr>
        <w:pStyle w:val="ConsPlusTitle0"/>
        <w:jc w:val="center"/>
      </w:pPr>
      <w:r>
        <w:t>ФУНКЦИОНИРОВАНИЯ В ФЕДЕРАЛЬНОМ ОРГАНЕ ИСПОЛНИТЕЛЬНОЙ</w:t>
      </w:r>
    </w:p>
    <w:p w:rsidR="006A265A" w:rsidRDefault="00165C9A">
      <w:pPr>
        <w:pStyle w:val="ConsPlusTitle0"/>
        <w:jc w:val="center"/>
      </w:pPr>
      <w:r>
        <w:t>ВЛАСТИ АНТИМОНОПОЛЬНОГО КОМПЛАЕНСА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Title0"/>
        <w:jc w:val="center"/>
        <w:outlineLvl w:val="1"/>
      </w:pPr>
      <w:r>
        <w:t>I. Общие положения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Normal0"/>
        <w:ind w:firstLine="540"/>
        <w:jc w:val="both"/>
      </w:pPr>
      <w:r>
        <w:t>1.1. Методика расчета ключевых показателей эфф</w:t>
      </w:r>
      <w:r>
        <w:t xml:space="preserve">ективности функционирования в </w:t>
      </w:r>
      <w:r>
        <w:lastRenderedPageBreak/>
        <w:t xml:space="preserve">федеральном органе исполнительной власти антимонопольного комплаенса (далее - Методика) разработана ФАС России в соответствии с </w:t>
      </w:r>
      <w:hyperlink r:id="rId12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18.10.2018 N 2258-р "Об утверждении методических рекомендаций по созданию и органи</w:t>
      </w:r>
      <w:r>
        <w:t>зации федеральными органами исполнительной власти системы внутреннего обеспечения соответствия требованиям антимонопольного законодательства" (далее - Методические рекомендации).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1.2. В целях оценки эффективности функционирования в федеральном органе исполнительной власти антимонопольного комплаенса в соответствии с Методикой рассчитываются ключевые показатели эффективности антимонопольного комплаенса (далее - КПЭ) как для уполномо</w:t>
      </w:r>
      <w:r>
        <w:t>ченного подразделения (должностного лица), так и для федерального органа исполнительной власти.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Title0"/>
        <w:jc w:val="center"/>
        <w:outlineLvl w:val="1"/>
      </w:pPr>
      <w:r>
        <w:t>II. Методика расчета КПЭ для федерального органа</w:t>
      </w:r>
    </w:p>
    <w:p w:rsidR="006A265A" w:rsidRDefault="00165C9A">
      <w:pPr>
        <w:pStyle w:val="ConsPlusTitle0"/>
        <w:jc w:val="center"/>
      </w:pPr>
      <w:r>
        <w:t>исполнительной власти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Normal0"/>
        <w:ind w:firstLine="540"/>
        <w:jc w:val="both"/>
      </w:pPr>
      <w:r>
        <w:t>2.1. КПЭ для федерального органа исполнительной власти являются: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а) коэффициент снижени</w:t>
      </w:r>
      <w:r>
        <w:t xml:space="preserve">я количества нарушений антимонопольного законодательства со стороны федерального органа исполнительной власти за последние </w:t>
      </w:r>
      <w:r>
        <w:rPr>
          <w:highlight w:val="yellow"/>
        </w:rPr>
        <w:t>три года;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б) коэффициент эффективности выявления рисков нарушения антимонопольного законодательства в проектах нормативных правовых а</w:t>
      </w:r>
      <w:r>
        <w:t>ктов федерального органа исполнительной власти;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в) 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2.2. Коэффициент снижения количества нарушений антимо</w:t>
      </w:r>
      <w:r>
        <w:t>нопольного законодательства со стороны федерального органа исполнительной власти за последние три года рассчитывается по формуле: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jc w:val="both"/>
      </w:pPr>
      <w:r>
        <w:rPr>
          <w:noProof/>
          <w:position w:val="-24"/>
        </w:rPr>
        <w:drawing>
          <wp:inline distT="0" distB="0" distL="0" distR="0">
            <wp:extent cx="115443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где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ind w:firstLine="540"/>
        <w:jc w:val="both"/>
      </w:pPr>
      <w:r>
        <w:t>КСН - коэффициент снижения количества нарушений антимонопольного законодательства со стороны федерального органа испол</w:t>
      </w:r>
      <w:r>
        <w:t>нительной власти;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КНП - количество нарушений антимонопольного законодательства со стороны федерального органа исполнительной власти, допущенных </w:t>
      </w:r>
      <w:r>
        <w:rPr>
          <w:highlight w:val="yellow"/>
        </w:rPr>
        <w:t>в отчетном периоде три года ранее;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КНоп - количество нарушений антимонопольного законодательства со стороны феде</w:t>
      </w:r>
      <w:r>
        <w:t>рального органа исполнительной власти в отчетном периоде, за который рассчитывается ключевой показатель.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Для целей расчета под отчетным периодом понимается календарный год.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В случае, если нарушений не допускалось, для целей расчета в соответствующем числит</w:t>
      </w:r>
      <w:r>
        <w:t xml:space="preserve">еле </w:t>
      </w:r>
      <w:r>
        <w:lastRenderedPageBreak/>
        <w:t>или знаменателе вместо значения показателя "0" следует использовать значение показателя "0,1".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При расчете показателя снижения количества нарушений антимонопольного законодательства со стороны федерального органа исполнительной власти под нарушением ан</w:t>
      </w:r>
      <w:r>
        <w:t>тимонопольного законодательства со стороны федерального органа исполнительной власти понимаются: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- решения по делу о нарушении антимонопольного законодательства, принятые антимонопольным органом в отношении федерального органа исполнительной власти;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- выда</w:t>
      </w:r>
      <w:r>
        <w:t>нные антимонопольным органом федеральному органу исполнительной власти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</w:t>
      </w:r>
      <w:r>
        <w:t>ловий, способствовавших возникновению такого нарушения, и о принятии мер по устранению последствий такого нарушения;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- направленные антимонопольным органом федеральному органу исполнительной власти предостережения о недопустимости совершения действий, кото</w:t>
      </w:r>
      <w:r>
        <w:t>рые могут привести к нарушению антимонопольного законодательства.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2.3. Коэффициент эффективности выявления рисков нарушения антимонопольного законодательства в проектах нормативных правовых актов федерального органа исполнительной власти рассчитывается по </w:t>
      </w:r>
      <w:r>
        <w:t>формуле: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jc w:val="both"/>
      </w:pPr>
      <w:r>
        <w:rPr>
          <w:noProof/>
          <w:position w:val="-24"/>
        </w:rPr>
        <w:drawing>
          <wp:inline distT="0" distB="0" distL="0" distR="0">
            <wp:extent cx="1417320" cy="4686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где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ind w:firstLine="540"/>
        <w:jc w:val="both"/>
      </w:pPr>
      <w:r>
        <w:t>Кэпнпа - коэффициент эффективности выявления рисков нарушения антимонопольного законодательства в проектах нормативных правовых актов федерального органа исполнительной власти;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Кпнпа - количество проектов нормативных правовых актов федерального органа исполнительной власти, в которых данным органом выявлены риски нарушения антимонопольного законодательства (в отчетном периоде);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Кноп - количество проектов нормативных правовых акто</w:t>
      </w:r>
      <w:r>
        <w:t>в федерального органа исполнительной власти,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В случае, если за отчетный период в проектах актов антимон</w:t>
      </w:r>
      <w:r>
        <w:t>опольным органом или федеральным органом исполнительной власти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"0" сле</w:t>
      </w:r>
      <w:r>
        <w:t>дует использовать значение показателя "0,1".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2.4. Коэффициент эффективности выявления нарушений антимонопольного </w:t>
      </w:r>
      <w:r>
        <w:lastRenderedPageBreak/>
        <w:t>законодательства в нормативных правовых актах федерального органа исполнительной власти рассчитывается по формуле: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jc w:val="both"/>
      </w:pPr>
      <w:r>
        <w:rPr>
          <w:noProof/>
          <w:position w:val="-24"/>
        </w:rPr>
        <w:drawing>
          <wp:inline distT="0" distB="0" distL="0" distR="0">
            <wp:extent cx="1268730" cy="4686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где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ind w:firstLine="540"/>
        <w:jc w:val="both"/>
      </w:pPr>
      <w:r>
        <w:t xml:space="preserve">Кэнпа - коэффициент </w:t>
      </w:r>
      <w:r>
        <w:t>эффективности выявления нарушений антимонопольного законодательства в нормативных правовых актах федерального органа исполнительной власти;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Кнпа - количество нормативных правовых актов федерального органа исполнительной власти, в которых данным органом выя</w:t>
      </w:r>
      <w:r>
        <w:t>влены риски нарушения антимонопольного законодательства (в отчетном периоде);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КНоп - количество нормативных правовых актов федерального органа исполнительной власти, в которых антимонопольным органом выявлены нарушения антимонопольного законодательства (в </w:t>
      </w:r>
      <w:r>
        <w:t>отчетном периоде).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В случае, если за отчетный период нормативные правовые акты, нарушающие антимонопольное законодательство, антимонопольным органом или федеральным органом исполнительной власти не выявлялись, для целей расчета применительно к данному пери</w:t>
      </w:r>
      <w:r>
        <w:t>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Title0"/>
        <w:jc w:val="center"/>
        <w:outlineLvl w:val="1"/>
      </w:pPr>
      <w:r>
        <w:t>III. Методика расчета КПЭ для уполномоченного подразделения</w:t>
      </w:r>
    </w:p>
    <w:p w:rsidR="006A265A" w:rsidRDefault="00165C9A">
      <w:pPr>
        <w:pStyle w:val="ConsPlusTitle0"/>
        <w:jc w:val="center"/>
      </w:pPr>
      <w:r>
        <w:t>(должностного лица)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Normal0"/>
        <w:ind w:firstLine="540"/>
        <w:jc w:val="both"/>
      </w:pPr>
      <w:r>
        <w:t>3.1. Для уполномоченного подразделения (должнос</w:t>
      </w:r>
      <w:r>
        <w:t>тного лица) рассчитывается КПЭ - доля сотрудников федерального органа исполнительной власти, в отношении которых были проведены обучающие мероприятия по антимонопольному законодательству и антимонопольному комплаенсу.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3.2. Доля сотрудников федерального орг</w:t>
      </w:r>
      <w:r>
        <w:t>ана исполнительной власти,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jc w:val="both"/>
      </w:pPr>
      <w:r>
        <w:rPr>
          <w:noProof/>
          <w:position w:val="-26"/>
        </w:rPr>
        <w:drawing>
          <wp:inline distT="0" distB="0" distL="0" distR="0">
            <wp:extent cx="1245870" cy="49149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где</w:t>
      </w:r>
    </w:p>
    <w:p w:rsidR="006A265A" w:rsidRDefault="006A265A">
      <w:pPr>
        <w:pStyle w:val="ConsPlusNormal0"/>
        <w:ind w:firstLine="540"/>
        <w:jc w:val="both"/>
      </w:pPr>
    </w:p>
    <w:p w:rsidR="006A265A" w:rsidRDefault="00165C9A">
      <w:pPr>
        <w:pStyle w:val="ConsPlusNormal0"/>
        <w:ind w:firstLine="540"/>
        <w:jc w:val="both"/>
      </w:pPr>
      <w:r>
        <w:t>ДСо - доля сотрудников федерального органа исполнительной власти, с которыми были проведены обучающие мероприятия по антимонопольному законодательству и антимонопольному комплаенсу;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КСо - количество сотрудников федерального органа исполнительной власти,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</w:t>
      </w:r>
      <w:r>
        <w:t>тия по антимонопольному законодательству и антимонопольному комплаенсу;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lastRenderedPageBreak/>
        <w:t>КСобщ - общее количество сотрудников федерального органа исполнительной власти, чьи трудовые (должностные) обязанности предусматривают выполнение функций, связанных с рисками нарушения</w:t>
      </w:r>
      <w:r>
        <w:t xml:space="preserve"> антимонопольного законодательства.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Title0"/>
        <w:jc w:val="center"/>
        <w:outlineLvl w:val="1"/>
      </w:pPr>
      <w:r>
        <w:t>IV. Оценка значений КПЭ для федерального</w:t>
      </w:r>
    </w:p>
    <w:p w:rsidR="006A265A" w:rsidRDefault="00165C9A">
      <w:pPr>
        <w:pStyle w:val="ConsPlusTitle0"/>
        <w:jc w:val="center"/>
      </w:pPr>
      <w:r>
        <w:t>органа исполнительной власти и КПЭ для уполномоченного</w:t>
      </w:r>
    </w:p>
    <w:p w:rsidR="006A265A" w:rsidRDefault="00165C9A">
      <w:pPr>
        <w:pStyle w:val="ConsPlusTitle0"/>
        <w:jc w:val="center"/>
      </w:pPr>
      <w:r>
        <w:t>подразделения (должностного лица)</w:t>
      </w:r>
    </w:p>
    <w:p w:rsidR="006A265A" w:rsidRDefault="006A265A">
      <w:pPr>
        <w:pStyle w:val="ConsPlusNormal0"/>
        <w:jc w:val="center"/>
      </w:pPr>
    </w:p>
    <w:p w:rsidR="006A265A" w:rsidRDefault="00165C9A">
      <w:pPr>
        <w:pStyle w:val="ConsPlusNormal0"/>
        <w:ind w:firstLine="540"/>
        <w:jc w:val="both"/>
      </w:pPr>
      <w:r>
        <w:t>4.1. Оценка значений КПЭ "коэффициент снижения количества нарушений антимонопольного зак</w:t>
      </w:r>
      <w:r>
        <w:t>онодательства со стороны федерального органа исполнительной власти за последние три года".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Ключевой показатель "коэффициент снижения количества нарушений антимонопольного законодательства со стороны федерального органа исполнительной власти за последние тр</w:t>
      </w:r>
      <w:r>
        <w:t>и года" определяется в рамках анализа выявленных нарушений антимонопольного законодательства в деятельности федерального органа исполнительной власти за предыдущие три года (наличие предостережений, предупреждений, штрафов, жалоб, возбужденных дел), провод</w:t>
      </w:r>
      <w:r>
        <w:t xml:space="preserve">имого в соответствии с </w:t>
      </w:r>
      <w:hyperlink r:id="rId17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подпунктом "а" пункта 15</w:t>
        </w:r>
      </w:hyperlink>
      <w:r>
        <w:t xml:space="preserve"> Методических рекомендаций.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Ежегодная оценка значения КПЭ "показатель снижения количе</w:t>
      </w:r>
      <w:r>
        <w:t>ства нарушений антимонопольного законодательства со стороны федерального органа исполнительной власти за последние три года" призвана обеспечить понимание эффективности функционирования антимонопольного комплаенса в федеральном органе исполнительной власти</w:t>
      </w:r>
      <w:r>
        <w:t xml:space="preserve"> и служит одним из ключевых факторов для определения областей деятельности, содержащих высокие комплаенс-риски.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Целевое значение коэффициента определяется федеральным органом исполнительной власти самостоятельно. При этом следует учитывать, что в случае, е</w:t>
      </w:r>
      <w:r>
        <w:t xml:space="preserve">сли количество нарушений в отчетном периоде по сравнению с аналогичным периодом три года ранее снизилось, ключевой показатель "коэффициент снижения количества нарушений антимонопольного законодательства со стороны федерального органа исполнительной власти </w:t>
      </w:r>
      <w:r>
        <w:t>за последние три года" должен превышать значение "1".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Показатель снижения количества нарушений антимонопольного законодательства со стороны федерального органа исполнительной власти за последние три года должен учитываться при составлении карты рисков и "д</w:t>
      </w:r>
      <w:r>
        <w:t>орожной карты" по устранению выявленных рисков.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4.2. Оценка значений КПЭ "коэффициент эффективности выявления рисков нарушения антимонопольного законодательства в проектах нормативных правовых актов федерального органа исполнительной власти" и "коэффициент</w:t>
      </w:r>
      <w:r>
        <w:t xml:space="preserve"> эффективности выявления нарушений антимонопольного законодательства в нормативных правовых актах федерального органа исполнительной власти".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Оценка вышеуказанных значений КПЭ направлена на оценку эффективности мероприятий антимонопольного комплаенса, пред</w:t>
      </w:r>
      <w:r>
        <w:t xml:space="preserve">усмотренных </w:t>
      </w:r>
      <w:hyperlink r:id="rId18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подпунктами "б"</w:t>
        </w:r>
      </w:hyperlink>
      <w:r>
        <w:t xml:space="preserve"> и </w:t>
      </w:r>
      <w:hyperlink r:id="rId19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"в" пункта 15</w:t>
        </w:r>
      </w:hyperlink>
      <w:r>
        <w:t xml:space="preserve"> Методических рекомендаций.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 xml:space="preserve">При эффективном проведении мероприятий по анализу нормативных правовых актов </w:t>
      </w:r>
      <w:r>
        <w:lastRenderedPageBreak/>
        <w:t>федерального органа исполнительной власти и их проектов на предмет выявления заложенных в них рисков нарушения антим</w:t>
      </w:r>
      <w:r>
        <w:t>онопольного законодательства (то есть при высоком значении числителя) должно наблюдаться уменьшение нормативных правовых актов федерального органа исполнительной власти, в отношении которых антимонопольным органом выявлены нарушения антимонопольного законо</w:t>
      </w:r>
      <w:r>
        <w:t>дательства (то есть низкое значение знаменателя).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Таким образом, значение КПЭ будет тем выше, чем эффективней данные мероприятия антимонопольного комплаенса будут осуществляться уполномоченным подразделением (должностным лицом). И наоборот, при невысоком з</w:t>
      </w:r>
      <w:r>
        <w:t xml:space="preserve">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 низкие значения КПЭ будут свидетельствовать о низкой </w:t>
      </w:r>
      <w:r>
        <w:t>эффективности данных мероприятий.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Целевое значение коэффициента определяется федеральным органом исполнительной власти самостоятельно. При этом следует учитывать, что в случае, если количество проектов актов федерального органа исполнительной власти, содер</w:t>
      </w:r>
      <w:r>
        <w:t>жащих риски нарушения антимонопольного законодательства, или актов федерального органа исполнительной власти, нарушающих законодательство, выявленное данным органом, превышает соответствующее количество, выявленное антимонопольным органом, ключевой показат</w:t>
      </w:r>
      <w:r>
        <w:t>ель "коэффициент эффективности выявления рисков нарушения антимонопольного законодательства проектами нормативных правовых актов федерального органа исполнительной власти" или "коэффициент эффективности выявления нарушений антимонопольного законодательства</w:t>
      </w:r>
      <w:r>
        <w:t xml:space="preserve"> нормативными правовыми актами федерального органа исполнительной власти" должен превышать значение "1".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4.3. Оценка значения КПЭ "сотрудников федерального органа исполнительной власти, с которыми были проведены обучающие мероприятия по антимонопольному за</w:t>
      </w:r>
      <w:r>
        <w:t>конодательству и антимонопольному комплаенсу".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Консультирование и обучение служащих федерального органа исполнительной власти по вопросам, связанным с соблюдением антимонопольного законодательства и антимонопольным комплаенсом, отнесено к компетенции уполн</w:t>
      </w:r>
      <w:r>
        <w:t xml:space="preserve">омоченного подразделения (должностного лица) согласно </w:t>
      </w:r>
      <w:hyperlink r:id="rId20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подпункту "г" пункта 11</w:t>
        </w:r>
      </w:hyperlink>
      <w:r>
        <w:t xml:space="preserve"> Методических рекомендаций и направлено на профилактику</w:t>
      </w:r>
      <w:r>
        <w:t xml:space="preserve"> нарушений требований антимонопольного законодательства в деятельности федерального органа исполнительной власти.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Расчет данного показателя предусматривает определение сотрудников федерального органа исполнительной власти, чьи трудовые (должностные) обязан</w:t>
      </w:r>
      <w:r>
        <w:t>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</w:t>
      </w:r>
      <w:r>
        <w:t>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:rsidR="006A265A" w:rsidRDefault="00165C9A">
      <w:pPr>
        <w:pStyle w:val="ConsPlusNormal0"/>
        <w:spacing w:before="240"/>
        <w:ind w:firstLine="540"/>
        <w:jc w:val="both"/>
      </w:pPr>
      <w:r>
        <w:t>Целевое значение коэффициента опред</w:t>
      </w:r>
      <w:r>
        <w:t>еляется федеральным органом исполнительной власти самостоятельно. При этом следует учитывать, что в случае, если общее количество служащих, чьи трудовые (должностные) обязанности предусматривают выполнение функций, связанных с рисками нарушения антимонопол</w:t>
      </w:r>
      <w:r>
        <w:t xml:space="preserve">ьного законодательства, и количество служащих, чьи трудовые </w:t>
      </w:r>
      <w:r>
        <w:lastRenderedPageBreak/>
        <w:t>(должностные) обязанности предусматривают выполнение функций, связанных с рисками нарушения антимонопольного законодательства, которые прошли обучающие мероприятия по соблюдению антимонопольного з</w:t>
      </w:r>
      <w:r>
        <w:t>аконодательства, значение ключевого показателя "доля сотрудников федерального органа исполнительной власти, в отношении которых были проведены обучающие мероприятия по антимонопольному законодательству и антимонопольному комплаенсу" будет составлять "1".</w:t>
      </w:r>
    </w:p>
    <w:p w:rsidR="006A265A" w:rsidRDefault="006A265A">
      <w:pPr>
        <w:pStyle w:val="ConsPlusNormal0"/>
        <w:jc w:val="both"/>
      </w:pPr>
    </w:p>
    <w:p w:rsidR="006A265A" w:rsidRDefault="006A265A">
      <w:pPr>
        <w:pStyle w:val="ConsPlusNormal0"/>
        <w:jc w:val="both"/>
      </w:pPr>
    </w:p>
    <w:p w:rsidR="006A265A" w:rsidRDefault="006A265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265A" w:rsidSect="006A265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C9A" w:rsidRDefault="00165C9A" w:rsidP="006A265A">
      <w:r>
        <w:separator/>
      </w:r>
    </w:p>
  </w:endnote>
  <w:endnote w:type="continuationSeparator" w:id="0">
    <w:p w:rsidR="00165C9A" w:rsidRDefault="00165C9A" w:rsidP="006A2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5A" w:rsidRDefault="006A2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A26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65A" w:rsidRDefault="00165C9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65A" w:rsidRDefault="006A265A">
          <w:pPr>
            <w:pStyle w:val="ConsPlusNormal0"/>
            <w:jc w:val="center"/>
          </w:pPr>
          <w:hyperlink r:id="rId1">
            <w:r w:rsidR="00165C9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65A" w:rsidRDefault="00165C9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A265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A265A">
            <w:fldChar w:fldCharType="separate"/>
          </w:r>
          <w:r w:rsidR="00183ED1">
            <w:rPr>
              <w:rFonts w:ascii="Tahoma" w:hAnsi="Tahoma" w:cs="Tahoma"/>
              <w:noProof/>
            </w:rPr>
            <w:t>8</w:t>
          </w:r>
          <w:r w:rsidR="006A265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A265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A265A">
            <w:fldChar w:fldCharType="separate"/>
          </w:r>
          <w:r w:rsidR="00183ED1">
            <w:rPr>
              <w:rFonts w:ascii="Tahoma" w:hAnsi="Tahoma" w:cs="Tahoma"/>
              <w:noProof/>
            </w:rPr>
            <w:t>8</w:t>
          </w:r>
          <w:r w:rsidR="006A265A">
            <w:fldChar w:fldCharType="end"/>
          </w:r>
        </w:p>
      </w:tc>
    </w:tr>
  </w:tbl>
  <w:p w:rsidR="006A265A" w:rsidRDefault="00165C9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5A" w:rsidRDefault="006A2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A26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65A" w:rsidRDefault="00165C9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65A" w:rsidRDefault="006A265A">
          <w:pPr>
            <w:pStyle w:val="ConsPlusNormal0"/>
            <w:jc w:val="center"/>
          </w:pPr>
          <w:hyperlink r:id="rId1">
            <w:r w:rsidR="00165C9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65A" w:rsidRDefault="00165C9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A265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A265A">
            <w:fldChar w:fldCharType="separate"/>
          </w:r>
          <w:r w:rsidR="00183ED1">
            <w:rPr>
              <w:rFonts w:ascii="Tahoma" w:hAnsi="Tahoma" w:cs="Tahoma"/>
              <w:noProof/>
            </w:rPr>
            <w:t>2</w:t>
          </w:r>
          <w:r w:rsidR="006A265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A265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A265A">
            <w:fldChar w:fldCharType="separate"/>
          </w:r>
          <w:r w:rsidR="00183ED1">
            <w:rPr>
              <w:rFonts w:ascii="Tahoma" w:hAnsi="Tahoma" w:cs="Tahoma"/>
              <w:noProof/>
            </w:rPr>
            <w:t>4</w:t>
          </w:r>
          <w:r w:rsidR="006A265A">
            <w:fldChar w:fldCharType="end"/>
          </w:r>
        </w:p>
      </w:tc>
    </w:tr>
  </w:tbl>
  <w:p w:rsidR="006A265A" w:rsidRDefault="00165C9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C9A" w:rsidRDefault="00165C9A" w:rsidP="006A265A">
      <w:r>
        <w:separator/>
      </w:r>
    </w:p>
  </w:footnote>
  <w:footnote w:type="continuationSeparator" w:id="0">
    <w:p w:rsidR="00165C9A" w:rsidRDefault="00165C9A" w:rsidP="006A2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A26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65A" w:rsidRDefault="00165C9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27.12.2022 N 1034/22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ключевых показателей эффективности функционир...</w:t>
          </w:r>
        </w:p>
      </w:tc>
      <w:tc>
        <w:tcPr>
          <w:tcW w:w="2300" w:type="pct"/>
          <w:vAlign w:val="center"/>
        </w:tcPr>
        <w:p w:rsidR="006A265A" w:rsidRDefault="00165C9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6A265A" w:rsidRDefault="006A2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65A" w:rsidRDefault="006A265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A26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65A" w:rsidRDefault="00165C9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27.12.2022 N 1034/22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расчета ключевых показателей эффективности </w:t>
          </w:r>
          <w:r>
            <w:rPr>
              <w:rFonts w:ascii="Tahoma" w:hAnsi="Tahoma" w:cs="Tahoma"/>
              <w:sz w:val="16"/>
              <w:szCs w:val="16"/>
            </w:rPr>
            <w:t>функционир...</w:t>
          </w:r>
        </w:p>
      </w:tc>
      <w:tc>
        <w:tcPr>
          <w:tcW w:w="2300" w:type="pct"/>
          <w:vAlign w:val="center"/>
        </w:tcPr>
        <w:p w:rsidR="006A265A" w:rsidRDefault="00165C9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6A265A" w:rsidRDefault="006A2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65A" w:rsidRDefault="006A265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65A"/>
    <w:rsid w:val="00165C9A"/>
    <w:rsid w:val="00183ED1"/>
    <w:rsid w:val="006A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65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A26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65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6A26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A265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6A265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A265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A265A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6A265A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6A265A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6A26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6A265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6A26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6A265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6A265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6A265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A265A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6A265A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3E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image" Target="media/image2.wmf"/><Relationship Id="rId18" Type="http://schemas.openxmlformats.org/officeDocument/2006/relationships/hyperlink" Target="https://login.consultant.ru/link/?req=doc&amp;base=LAW&amp;n=309384&amp;date=26.01.2026&amp;dst=100071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09384&amp;date=26.01.2026&amp;dst=100105&amp;field=134" TargetMode="External"/><Relationship Id="rId17" Type="http://schemas.openxmlformats.org/officeDocument/2006/relationships/hyperlink" Target="https://login.consultant.ru/link/?req=doc&amp;base=LAW&amp;n=309384&amp;date=26.01.2026&amp;dst=100070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hyperlink" Target="https://login.consultant.ru/link/?req=doc&amp;base=LAW&amp;n=309384&amp;date=26.01.2026&amp;dst=10005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17658&amp;date=26.01.2026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09384&amp;date=26.01.2026&amp;dst=100105&amp;field=134" TargetMode="External"/><Relationship Id="rId19" Type="http://schemas.openxmlformats.org/officeDocument/2006/relationships/hyperlink" Target="https://login.consultant.ru/link/?req=doc&amp;base=LAW&amp;n=309384&amp;date=26.01.2026&amp;dst=10007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09384&amp;date=26.01.2026&amp;dst=100105&amp;field=134" TargetMode="Externa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2716</Words>
  <Characters>15482</Characters>
  <Application>Microsoft Office Word</Application>
  <DocSecurity>0</DocSecurity>
  <Lines>129</Lines>
  <Paragraphs>36</Paragraphs>
  <ScaleCrop>false</ScaleCrop>
  <Company>КонсультантПлюс Версия 4025.00.30</Company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27.12.2022 N 1034/22
"Об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комплаенса"</dc:title>
  <dc:creator>Викторова Марина Львовна</dc:creator>
  <cp:lastModifiedBy>viktorova.ml</cp:lastModifiedBy>
  <cp:revision>2</cp:revision>
  <dcterms:created xsi:type="dcterms:W3CDTF">2026-01-26T06:05:00Z</dcterms:created>
  <dcterms:modified xsi:type="dcterms:W3CDTF">2026-01-26T06:05:00Z</dcterms:modified>
</cp:coreProperties>
</file>