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96983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8566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Департамента по охране, контролю и регулированию использования объектов животного мира Вологодской области от 20.08.2010 N 212</w:t>
            </w:r>
            <w:r>
              <w:rPr>
                <w:sz w:val="48"/>
                <w:szCs w:val="48"/>
              </w:rPr>
              <w:br/>
              <w:t>(ред. от 16.10.2013)</w:t>
            </w:r>
            <w:r>
              <w:rPr>
                <w:sz w:val="48"/>
                <w:szCs w:val="48"/>
              </w:rPr>
              <w:br/>
              <w:t>"Об утверждении норм допустимой добычи охотничьих ресурсов, в отношении которых не устанавливается ли</w:t>
            </w:r>
            <w:r>
              <w:rPr>
                <w:sz w:val="48"/>
                <w:szCs w:val="48"/>
              </w:rPr>
              <w:t>мит добычи, и норм пропускной способности охотничьих угодий Вологодской области, за исключением особо охраняемых природных территорий федерального значения"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8566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28.12.2020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85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8566F">
      <w:pPr>
        <w:pStyle w:val="ConsPlusNormal"/>
        <w:jc w:val="both"/>
        <w:outlineLvl w:val="0"/>
      </w:pPr>
    </w:p>
    <w:p w:rsidR="00000000" w:rsidRDefault="00E8566F">
      <w:pPr>
        <w:pStyle w:val="ConsPlusTitle"/>
        <w:jc w:val="center"/>
        <w:outlineLvl w:val="0"/>
      </w:pPr>
      <w:r>
        <w:t>ДЕПАРТАМЕНТ ПО ОХРАНЕ, КОНТРОЛЮ И РЕГУЛИРОВАНИЮ</w:t>
      </w:r>
    </w:p>
    <w:p w:rsidR="00000000" w:rsidRDefault="00E8566F">
      <w:pPr>
        <w:pStyle w:val="ConsPlusTitle"/>
        <w:jc w:val="center"/>
      </w:pPr>
      <w:r>
        <w:t>ИСПОЛЬЗОВАНИЯ ОБЪЕКТОВ ЖИВОТНОГО МИРА</w:t>
      </w:r>
    </w:p>
    <w:p w:rsidR="00000000" w:rsidRDefault="00E8566F">
      <w:pPr>
        <w:pStyle w:val="ConsPlusTitle"/>
        <w:jc w:val="center"/>
      </w:pPr>
      <w:r>
        <w:t>ВОЛОГОДСКОЙ ОБЛАСТИ</w:t>
      </w:r>
    </w:p>
    <w:p w:rsidR="00000000" w:rsidRDefault="00E8566F">
      <w:pPr>
        <w:pStyle w:val="ConsPlusTitle"/>
        <w:jc w:val="center"/>
      </w:pPr>
    </w:p>
    <w:p w:rsidR="00000000" w:rsidRDefault="00E8566F">
      <w:pPr>
        <w:pStyle w:val="ConsPlusTitle"/>
        <w:jc w:val="center"/>
      </w:pPr>
      <w:r>
        <w:t>ПРИКАЗ</w:t>
      </w:r>
    </w:p>
    <w:p w:rsidR="00000000" w:rsidRDefault="00E8566F">
      <w:pPr>
        <w:pStyle w:val="ConsPlusTitle"/>
        <w:jc w:val="center"/>
      </w:pPr>
      <w:r>
        <w:t>от 20 августа 2010 г. N 212</w:t>
      </w:r>
    </w:p>
    <w:p w:rsidR="00000000" w:rsidRDefault="00E8566F">
      <w:pPr>
        <w:pStyle w:val="ConsPlusTitle"/>
        <w:jc w:val="center"/>
      </w:pPr>
    </w:p>
    <w:p w:rsidR="00000000" w:rsidRDefault="00E8566F">
      <w:pPr>
        <w:pStyle w:val="ConsPlusTitle"/>
        <w:jc w:val="center"/>
      </w:pPr>
      <w:r>
        <w:t>ОБ УТВЕРЖДЕНИИ НОРМ ДОПУСТИМОЙ ДОБЫЧИ ОХОТНИЧЬИХ РЕСУРСОВ,</w:t>
      </w:r>
    </w:p>
    <w:p w:rsidR="00000000" w:rsidRDefault="00E8566F">
      <w:pPr>
        <w:pStyle w:val="ConsPlusTitle"/>
        <w:jc w:val="center"/>
      </w:pPr>
      <w:r>
        <w:t>В ОТНОШЕНИИ КОТОРЫХ НЕ УСТАНАВЛИВАЕТСЯ ЛИМИТ ДОБЫЧИ,</w:t>
      </w:r>
    </w:p>
    <w:p w:rsidR="00000000" w:rsidRDefault="00E8566F">
      <w:pPr>
        <w:pStyle w:val="ConsPlusTitle"/>
        <w:jc w:val="center"/>
      </w:pPr>
      <w:r>
        <w:t>И НОРМ ПРОПУСКНОЙ СПОСОБНОСТИ ОХОТНИЧЬИХ УГОДИЙ</w:t>
      </w:r>
    </w:p>
    <w:p w:rsidR="00000000" w:rsidRDefault="00E8566F">
      <w:pPr>
        <w:pStyle w:val="ConsPlusTitle"/>
        <w:jc w:val="center"/>
      </w:pPr>
      <w:r>
        <w:t>ВОЛОГОДСКОЙ ОБЛАСТИ, ЗА ИСКЛЮЧЕНИЕМ ОСОБО ОХРАНЯЕМЫХ</w:t>
      </w:r>
    </w:p>
    <w:p w:rsidR="00000000" w:rsidRDefault="00E8566F">
      <w:pPr>
        <w:pStyle w:val="ConsPlusTitle"/>
        <w:jc w:val="center"/>
      </w:pPr>
      <w:r>
        <w:t>ПРИРОДНЫХ ТЕРРИТОРИЙ ФЕДЕРАЛЬНОГО ЗНАЧЕНИЯ</w:t>
      </w:r>
    </w:p>
    <w:p w:rsidR="00000000" w:rsidRDefault="00E8566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Департамента по охране, контролю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и регулированию использования объектов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животного мира Вологодской области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07.04.2011 </w:t>
            </w:r>
            <w:hyperlink r:id="rId9" w:history="1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30.03.2012 </w:t>
            </w:r>
            <w:hyperlink r:id="rId10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>,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16.10.2013 </w:t>
            </w:r>
            <w:hyperlink r:id="rId11" w:history="1">
              <w:r>
                <w:rPr>
                  <w:color w:val="0000FF"/>
                </w:rPr>
                <w:t>N 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17</w:t>
        </w:r>
      </w:hyperlink>
      <w:r>
        <w:t xml:space="preserve"> Федерального закона от 24 апреля 1995 года N 52-ФЗ "О животном мире" (с последующими изменениями), </w:t>
      </w:r>
      <w:hyperlink r:id="rId13" w:history="1">
        <w:r>
          <w:rPr>
            <w:color w:val="0000FF"/>
          </w:rPr>
          <w:t>частью 12 статьи 24</w:t>
        </w:r>
      </w:hyperlink>
      <w:r>
        <w:t xml:space="preserve">, </w:t>
      </w:r>
      <w:hyperlink r:id="rId14" w:history="1">
        <w:r>
          <w:rPr>
            <w:color w:val="0000FF"/>
          </w:rPr>
          <w:t>статьей 38</w:t>
        </w:r>
      </w:hyperlink>
      <w:r>
        <w:t xml:space="preserve"> Федерального закона о</w:t>
      </w:r>
      <w:r>
        <w:t xml:space="preserve">т 24 июля 2009 года N 209-ФЗ "Об охоте и сохранении охотничьих ресурсов и о внесении изменений в отдельные законодательные акты Российской Федерации", приказами Минприроды Российской Федерации от 30 апреля 2010 года </w:t>
      </w:r>
      <w:hyperlink r:id="rId15" w:history="1">
        <w:r>
          <w:rPr>
            <w:color w:val="0000FF"/>
          </w:rPr>
          <w:t>N 138</w:t>
        </w:r>
      </w:hyperlink>
      <w:r>
        <w:t xml:space="preserve"> "Об утверждении нормативов допустимого изъятия охотничьих ресурсов и нормативов численности охотничьих ресурсов в охотничьих угодьях" (зарегистрирован в Минюсте Российской Федерации 18 июня 2010 года N</w:t>
      </w:r>
      <w:r>
        <w:t xml:space="preserve"> 17603), от 17 мая 2010 года </w:t>
      </w:r>
      <w:hyperlink r:id="rId16" w:history="1">
        <w:r>
          <w:rPr>
            <w:color w:val="0000FF"/>
          </w:rPr>
          <w:t>N 164</w:t>
        </w:r>
      </w:hyperlink>
      <w:r>
        <w:t xml:space="preserve"> "Об утверждении перечня видов охотничьих ресурсов, добыча которых осуществляется в соответствии с лимитами их доб</w:t>
      </w:r>
      <w:r>
        <w:t xml:space="preserve">ычи" (зарегистрирован в Минюсте Российской Федерации 23 июля 2010 года N 17962), </w:t>
      </w:r>
      <w:hyperlink r:id="rId17" w:history="1">
        <w:r>
          <w:rPr>
            <w:color w:val="0000FF"/>
          </w:rPr>
          <w:t>п. 3.1.15</w:t>
        </w:r>
      </w:hyperlink>
      <w:r>
        <w:t xml:space="preserve"> Положения о Департаменте по охране, контролю и регули</w:t>
      </w:r>
      <w:r>
        <w:t>рованию использования объектов животного мира Вологодской области, утвержденного постановлением Правительства Вологодской области от 17 декабря 2007 года N 1756 (с последующими изменениями), учитывая заключение экспертной комиссии государственной экологиче</w:t>
      </w:r>
      <w:r>
        <w:t>ской экспертизы области (приказ Департамента природных ресурсов и охраны окружающей среды Вологодской области от 16 июня 2010 года N 288-э), в целях охраны, воспроизводства и рационального использования охотничьих ресурсов приказываю:</w:t>
      </w:r>
    </w:p>
    <w:p w:rsidR="00000000" w:rsidRDefault="00E8566F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9" w:tooltip="НОРМЫ" w:history="1">
        <w:r>
          <w:rPr>
            <w:color w:val="0000FF"/>
          </w:rPr>
          <w:t>нормы</w:t>
        </w:r>
      </w:hyperlink>
      <w:r>
        <w:t xml:space="preserve"> допустимой добычи охотничьих ресурсов, в отношении которых не устанавливается лимит добычи, на территории Вологодской области (приложение 1).</w:t>
      </w:r>
    </w:p>
    <w:p w:rsidR="00000000" w:rsidRDefault="00E8566F">
      <w:pPr>
        <w:pStyle w:val="ConsPlusNormal"/>
        <w:spacing w:before="240"/>
        <w:ind w:firstLine="540"/>
        <w:jc w:val="both"/>
      </w:pPr>
      <w:r>
        <w:t xml:space="preserve">2. Утвердить </w:t>
      </w:r>
      <w:hyperlink w:anchor="Par176" w:tooltip="НОРМЫ" w:history="1">
        <w:r>
          <w:rPr>
            <w:color w:val="0000FF"/>
          </w:rPr>
          <w:t>нормы</w:t>
        </w:r>
      </w:hyperlink>
      <w:r>
        <w:t xml:space="preserve"> пропускной способности охотнич</w:t>
      </w:r>
      <w:r>
        <w:t>ьих угодий Вологодской области:</w:t>
      </w:r>
    </w:p>
    <w:p w:rsidR="00000000" w:rsidRDefault="00E8566F">
      <w:pPr>
        <w:pStyle w:val="ConsPlusNormal"/>
        <w:spacing w:before="240"/>
        <w:ind w:firstLine="540"/>
        <w:jc w:val="both"/>
      </w:pPr>
      <w:r>
        <w:t>- для закрепленных охотничьих угодий - согласно разработанным проектам охотустройства;</w:t>
      </w:r>
    </w:p>
    <w:p w:rsidR="00000000" w:rsidRDefault="00E8566F">
      <w:pPr>
        <w:pStyle w:val="ConsPlusNormal"/>
        <w:spacing w:before="240"/>
        <w:ind w:firstLine="540"/>
        <w:jc w:val="both"/>
      </w:pPr>
      <w:r>
        <w:t>- для общедоступных охотничьих угодий и закрепленных охотничьих угодий до разработки проектов охотустройства - согласно допустимым нормам</w:t>
      </w:r>
      <w:r>
        <w:t xml:space="preserve"> нагрузки охотников на единицу площади </w:t>
      </w:r>
      <w:r>
        <w:lastRenderedPageBreak/>
        <w:t>охотничьих угодий (приложение 2).</w:t>
      </w:r>
    </w:p>
    <w:p w:rsidR="00000000" w:rsidRDefault="00E8566F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right"/>
      </w:pPr>
      <w:r>
        <w:t>Начальник департамента</w:t>
      </w:r>
    </w:p>
    <w:p w:rsidR="00000000" w:rsidRDefault="00E8566F">
      <w:pPr>
        <w:pStyle w:val="ConsPlusNormal"/>
        <w:jc w:val="right"/>
      </w:pPr>
      <w:r>
        <w:t>А.А.ФИЛАТОВ</w:t>
      </w: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right"/>
        <w:outlineLvl w:val="0"/>
      </w:pPr>
      <w:r>
        <w:t>Приложение 1</w:t>
      </w:r>
    </w:p>
    <w:p w:rsidR="00000000" w:rsidRDefault="00E8566F">
      <w:pPr>
        <w:pStyle w:val="ConsPlusNormal"/>
        <w:jc w:val="right"/>
      </w:pPr>
      <w:r>
        <w:t>к Приказу</w:t>
      </w:r>
    </w:p>
    <w:p w:rsidR="00000000" w:rsidRDefault="00E8566F">
      <w:pPr>
        <w:pStyle w:val="ConsPlusNormal"/>
        <w:jc w:val="right"/>
      </w:pPr>
      <w:r>
        <w:t>Департамента</w:t>
      </w:r>
    </w:p>
    <w:p w:rsidR="00000000" w:rsidRDefault="00E8566F">
      <w:pPr>
        <w:pStyle w:val="ConsPlusNormal"/>
        <w:jc w:val="right"/>
      </w:pPr>
      <w:r>
        <w:t>от 20 августа 2010 г. N 212</w:t>
      </w: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center"/>
      </w:pPr>
      <w:bookmarkStart w:id="0" w:name="Par39"/>
      <w:bookmarkEnd w:id="0"/>
      <w:r>
        <w:t>НОРМЫ</w:t>
      </w:r>
    </w:p>
    <w:p w:rsidR="00000000" w:rsidRDefault="00E8566F">
      <w:pPr>
        <w:pStyle w:val="ConsPlusNormal"/>
        <w:jc w:val="center"/>
      </w:pPr>
      <w:r>
        <w:t>ДОПУСТИМОЙ ДОБЫЧИ ОХОТНИЧЬИХ РЕСУРСОВ,</w:t>
      </w:r>
    </w:p>
    <w:p w:rsidR="00000000" w:rsidRDefault="00E8566F">
      <w:pPr>
        <w:pStyle w:val="ConsPlusNormal"/>
        <w:jc w:val="center"/>
      </w:pPr>
      <w:r>
        <w:t>В ОТНОШЕНИИ КОТОРЫХ НЕ УСТАНАВЛИВАЕТСЯ ЛИМИТ</w:t>
      </w:r>
    </w:p>
    <w:p w:rsidR="00000000" w:rsidRDefault="00E8566F">
      <w:pPr>
        <w:pStyle w:val="ConsPlusNormal"/>
        <w:jc w:val="center"/>
      </w:pPr>
      <w:r>
        <w:t xml:space="preserve">ДОБЫЧИ, НА ТЕРРИТОРИИ ВОЛОГОДСКОЙ ОБЛАСТИ </w:t>
      </w:r>
      <w:hyperlink w:anchor="Par163" w:tooltip="&lt;*&gt; Нормы добычи росомахи и зайца-русака не устанавливаются вследствие низкой численности видов." w:history="1">
        <w:r>
          <w:rPr>
            <w:color w:val="0000FF"/>
          </w:rPr>
          <w:t>&lt;*</w:t>
        </w:r>
        <w:r>
          <w:rPr>
            <w:color w:val="0000FF"/>
          </w:rPr>
          <w:t>&gt;</w:t>
        </w:r>
      </w:hyperlink>
    </w:p>
    <w:p w:rsidR="00000000" w:rsidRDefault="00E8566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охране, контролю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и регулированию использования объектов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животного мира Вологод</w:t>
            </w:r>
            <w:r>
              <w:rPr>
                <w:color w:val="392C69"/>
              </w:rPr>
              <w:t>ской области</w:t>
            </w:r>
          </w:p>
          <w:p w:rsidR="00000000" w:rsidRDefault="00E8566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16.10.2013 N 90)</w:t>
            </w:r>
          </w:p>
        </w:tc>
      </w:tr>
    </w:tbl>
    <w:p w:rsidR="00000000" w:rsidRDefault="00E8566F">
      <w:pPr>
        <w:pStyle w:val="ConsPlusNormal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340"/>
        <w:gridCol w:w="2340"/>
        <w:gridCol w:w="2340"/>
        <w:gridCol w:w="2340"/>
      </w:tblGrid>
      <w:tr w:rsidR="00000000">
        <w:trPr>
          <w:trHeight w:val="240"/>
        </w:trPr>
        <w:tc>
          <w:tcPr>
            <w:tcW w:w="2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Наименование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охотничьего 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ресурса           </w:t>
            </w:r>
          </w:p>
        </w:tc>
        <w:tc>
          <w:tcPr>
            <w:tcW w:w="7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       Нормы допустимой добычи                 </w:t>
            </w:r>
          </w:p>
        </w:tc>
      </w:tr>
      <w:tr w:rsidR="00000000"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rmal"/>
              <w:jc w:val="both"/>
            </w:pPr>
          </w:p>
        </w:tc>
        <w:tc>
          <w:tcPr>
            <w:tcW w:w="4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На одного охотника          </w:t>
            </w:r>
          </w:p>
        </w:tc>
        <w:tc>
          <w:tcPr>
            <w:tcW w:w="23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Предельно   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допустимые  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сезонные нормы    </w:t>
            </w:r>
          </w:p>
          <w:p w:rsidR="00000000" w:rsidRDefault="00E8566F">
            <w:pPr>
              <w:pStyle w:val="ConsPlusNonformat"/>
              <w:jc w:val="both"/>
            </w:pPr>
            <w:r>
              <w:t>(объемы) добычи по</w:t>
            </w:r>
          </w:p>
          <w:p w:rsidR="00000000" w:rsidRDefault="00E8566F">
            <w:pPr>
              <w:pStyle w:val="ConsPlusNonformat"/>
              <w:jc w:val="both"/>
            </w:pPr>
            <w:r>
              <w:t>охотничьим угодьям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(в % от     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численности)      </w:t>
            </w:r>
          </w:p>
        </w:tc>
      </w:tr>
      <w:tr w:rsidR="00000000"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 один день охоты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(кол-во особей)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за сезон охоты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(кол-во особей)   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Кабан </w:t>
            </w:r>
            <w:hyperlink w:anchor="Par164" w:tooltip="&lt;**&gt; Норма добычи кабана в возрасте до 1 года без разделения по половому признаку устанавливается от 40% до 80% от количества планируемых к добыче особей. Исключается отстрел самок, имеющих приплод текущего года рождени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до 80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Белка обыкновенная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3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Бобр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до 20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50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Бурундук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</w:t>
            </w:r>
            <w:r>
              <w:t>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Водяная полевка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Волк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Горностай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по 1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Енотовидная собака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по 1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lastRenderedPageBreak/>
              <w:t xml:space="preserve">Заяц-беляк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по 1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Крот обыкновенный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Куница лесная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до 20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35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Ласка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Летяга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Лисица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по 1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</w:t>
            </w:r>
            <w:r>
              <w:t>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Норка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до 15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Хорь лесной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по 1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Ондатра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до 10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  <w:outlineLvl w:val="1"/>
            </w:pPr>
            <w:r>
              <w:t xml:space="preserve">                               Боровая дичь                        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Рябчик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3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Глухарь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5        </w:t>
            </w:r>
          </w:p>
        </w:tc>
        <w:tc>
          <w:tcPr>
            <w:tcW w:w="23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Тетерев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10        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Вальдшнеп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3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Глухарь в сезон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весенней охоты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1        </w:t>
            </w:r>
          </w:p>
        </w:tc>
        <w:tc>
          <w:tcPr>
            <w:tcW w:w="23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Тетерев в сезон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весенней охоты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1        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Вальдшнеп в сезон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весенней охоты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3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  <w:outlineLvl w:val="1"/>
            </w:pPr>
            <w:r>
              <w:t xml:space="preserve">                           Болотно-луговая дичь                    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Дупель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5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Турухтан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Бекас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Травник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Тулес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Улиты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Камнешарка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</w:t>
            </w:r>
            <w:r>
              <w:t>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Камышница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Коростель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Мородунка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Чибис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Обыкновенный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погоныш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  <w:outlineLvl w:val="1"/>
            </w:pPr>
            <w:r>
              <w:t xml:space="preserve">                            Водоплавающая дичь                     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lastRenderedPageBreak/>
              <w:t xml:space="preserve">Гуси </w:t>
            </w:r>
            <w:hyperlink w:anchor="Par165" w:tooltip="&lt;***&gt; Кроме видов, подвидов и популяций, занесенных в Красную книгу Российской Федерации и Красную книгу Вологодской области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5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Утки </w:t>
            </w:r>
            <w:hyperlink w:anchor="Par165" w:tooltip="&lt;***&gt; Кроме видов, подвидов и популяций, занесенных в Красную книгу Российской Федерации и Красную книгу Вологодской области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Лысуха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Гуси в весенний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период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3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Селезни уток в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весенний сезон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охоты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  <w:outlineLvl w:val="1"/>
            </w:pPr>
            <w:r>
              <w:t xml:space="preserve">                         </w:t>
            </w:r>
            <w:r>
              <w:t xml:space="preserve">      Полевая дичь                                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Голуби </w:t>
            </w:r>
            <w:hyperlink w:anchor="Par165" w:tooltip="&lt;***&gt; Кроме видов, подвидов и популяций, занесенных в Красную книгу Российской Федерации и Красную книгу Вологодской области.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до 5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  <w:tr w:rsidR="00000000">
        <w:trPr>
          <w:trHeight w:val="240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Горлицы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- " -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не устанавливается</w:t>
            </w:r>
          </w:p>
        </w:tc>
      </w:tr>
    </w:tbl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ind w:firstLine="540"/>
        <w:jc w:val="both"/>
      </w:pPr>
      <w:r>
        <w:t>--------------------------------</w:t>
      </w:r>
    </w:p>
    <w:p w:rsidR="00000000" w:rsidRDefault="00E8566F">
      <w:pPr>
        <w:pStyle w:val="ConsPlusNormal"/>
        <w:spacing w:before="240"/>
        <w:ind w:firstLine="540"/>
        <w:jc w:val="both"/>
      </w:pPr>
      <w:bookmarkStart w:id="1" w:name="Par163"/>
      <w:bookmarkEnd w:id="1"/>
      <w:r>
        <w:t>&lt;*&gt; Нормы добычи росомахи и зайца-русака не устанавливаются вследствие низкой численности видов.</w:t>
      </w:r>
    </w:p>
    <w:p w:rsidR="00000000" w:rsidRDefault="00E8566F">
      <w:pPr>
        <w:pStyle w:val="ConsPlusNormal"/>
        <w:spacing w:before="240"/>
        <w:ind w:firstLine="540"/>
        <w:jc w:val="both"/>
      </w:pPr>
      <w:bookmarkStart w:id="2" w:name="Par164"/>
      <w:bookmarkEnd w:id="2"/>
      <w:r>
        <w:t>&lt;**</w:t>
      </w:r>
      <w:r>
        <w:t>&gt; Норма добычи кабана в возрасте до 1 года без разделения по половому признаку устанавливается от 40% до 80% от количества планируемых к добыче особей. Исключается отстрел самок, имеющих приплод текущего года рождения.</w:t>
      </w:r>
    </w:p>
    <w:p w:rsidR="00000000" w:rsidRDefault="00E8566F">
      <w:pPr>
        <w:pStyle w:val="ConsPlusNormal"/>
        <w:spacing w:before="240"/>
        <w:ind w:firstLine="540"/>
        <w:jc w:val="both"/>
      </w:pPr>
      <w:bookmarkStart w:id="3" w:name="Par165"/>
      <w:bookmarkEnd w:id="3"/>
      <w:r>
        <w:t>&lt;***&gt; Кроме видов, подвидов и популяций, занесенных в Красную книгу Российской Федерации и Красную книгу Вологодской области.</w:t>
      </w: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right"/>
        <w:outlineLvl w:val="0"/>
      </w:pPr>
      <w:r>
        <w:t>Приложение 2</w:t>
      </w:r>
    </w:p>
    <w:p w:rsidR="00000000" w:rsidRDefault="00E8566F">
      <w:pPr>
        <w:pStyle w:val="ConsPlusNormal"/>
        <w:jc w:val="right"/>
      </w:pPr>
      <w:r>
        <w:t>к Приказу</w:t>
      </w:r>
    </w:p>
    <w:p w:rsidR="00000000" w:rsidRDefault="00E8566F">
      <w:pPr>
        <w:pStyle w:val="ConsPlusNormal"/>
        <w:jc w:val="right"/>
      </w:pPr>
      <w:r>
        <w:t>Департамента</w:t>
      </w:r>
    </w:p>
    <w:p w:rsidR="00000000" w:rsidRDefault="00E8566F">
      <w:pPr>
        <w:pStyle w:val="ConsPlusNormal"/>
        <w:jc w:val="right"/>
      </w:pPr>
      <w:r>
        <w:t>от 20 августа 2010 г. N 212</w:t>
      </w:r>
    </w:p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center"/>
      </w:pPr>
      <w:bookmarkStart w:id="4" w:name="Par176"/>
      <w:bookmarkEnd w:id="4"/>
      <w:r>
        <w:t>НОРМЫ</w:t>
      </w:r>
    </w:p>
    <w:p w:rsidR="00000000" w:rsidRDefault="00E8566F">
      <w:pPr>
        <w:pStyle w:val="ConsPlusNormal"/>
        <w:jc w:val="center"/>
      </w:pPr>
      <w:r>
        <w:t>ПРОПУСКНОЙ СПОСОБНОСТИ ОХОТНИЧЬИХ УГОДИЙ В</w:t>
      </w:r>
      <w:r>
        <w:t>ОЛОГОДСКОЙ ОБЛАСТИ</w:t>
      </w:r>
    </w:p>
    <w:p w:rsidR="00000000" w:rsidRDefault="00E8566F">
      <w:pPr>
        <w:pStyle w:val="ConsPlusNormal"/>
        <w:jc w:val="both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85"/>
        <w:gridCol w:w="3393"/>
        <w:gridCol w:w="2223"/>
        <w:gridCol w:w="3276"/>
      </w:tblGrid>
      <w:tr w:rsidR="00000000">
        <w:trPr>
          <w:trHeight w:val="24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N </w:t>
            </w:r>
          </w:p>
          <w:p w:rsidR="00000000" w:rsidRDefault="00E8566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     Вид охоты         </w:t>
            </w:r>
          </w:p>
        </w:tc>
        <w:tc>
          <w:tcPr>
            <w:tcW w:w="2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Состав участников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Нормы площади свойственных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1.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Весенняя охота с подсадной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уткой   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100 га водно-болотных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(при весеннем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уровне воды)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2.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На токах 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10 га площади одного тока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3.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Охота на вальдшнепа на тяге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2 га пригодных для охоты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lastRenderedPageBreak/>
              <w:t xml:space="preserve"> 4.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Весенняя охота на гусей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Группа до 4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охотников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50 га пригодных угодий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5.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Летне-осенняя: на полевую и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болотно-луговую дичь с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подружейной собакой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1 - 2 охотника с </w:t>
            </w:r>
          </w:p>
          <w:p w:rsidR="00000000" w:rsidRDefault="00E8566F">
            <w:pPr>
              <w:pStyle w:val="ConsPlusNonformat"/>
              <w:jc w:val="both"/>
            </w:pPr>
            <w:r>
              <w:t>одной подружейной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собакой 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120 га пригодных угоди</w:t>
            </w:r>
            <w:r>
              <w:t xml:space="preserve">й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6.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На уток с подхода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60 га водно-болотных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7.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Осенняя: на уток с чучелами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60 га водно-болотных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8.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На копытных с подхода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1 - 2 охотника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1000 га пригодных угодий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9.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Осенне-зимняя на копытных и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зайца загоном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Группа из 10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охотников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3000 - 4000 га пригодных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10.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С гончими собаками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Группа до 5      </w:t>
            </w:r>
          </w:p>
          <w:p w:rsidR="00000000" w:rsidRDefault="00E8566F">
            <w:pPr>
              <w:pStyle w:val="ConsPlusNonformat"/>
              <w:jc w:val="both"/>
            </w:pPr>
            <w:r>
              <w:t>охотников с одной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или несколькими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собаками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2000 - 3000 га пригодных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11.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Летне-осенняя охота на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водоплавающую дичь на    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перелетах 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2 га пригодных для охоты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угодий        </w:t>
            </w:r>
            <w:r>
              <w:t xml:space="preserve">            </w:t>
            </w:r>
          </w:p>
        </w:tc>
      </w:tr>
      <w:tr w:rsidR="00000000">
        <w:trPr>
          <w:trHeight w:val="240"/>
        </w:trPr>
        <w:tc>
          <w:tcPr>
            <w:tcW w:w="5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>12.</w:t>
            </w:r>
          </w:p>
        </w:tc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На зайца с подхода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    1 охотник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E8566F">
            <w:pPr>
              <w:pStyle w:val="ConsPlusNonformat"/>
              <w:jc w:val="both"/>
            </w:pPr>
            <w:r>
              <w:t xml:space="preserve">1000 - 2000 га пригодных  </w:t>
            </w:r>
          </w:p>
          <w:p w:rsidR="00000000" w:rsidRDefault="00E8566F">
            <w:pPr>
              <w:pStyle w:val="ConsPlusNonformat"/>
              <w:jc w:val="both"/>
            </w:pPr>
            <w:r>
              <w:t xml:space="preserve">для охоты угодий          </w:t>
            </w:r>
          </w:p>
        </w:tc>
      </w:tr>
    </w:tbl>
    <w:p w:rsidR="00000000" w:rsidRDefault="00E8566F">
      <w:pPr>
        <w:pStyle w:val="ConsPlusNormal"/>
        <w:jc w:val="both"/>
      </w:pPr>
    </w:p>
    <w:p w:rsidR="00000000" w:rsidRDefault="00E8566F">
      <w:pPr>
        <w:pStyle w:val="ConsPlusNormal"/>
        <w:jc w:val="both"/>
      </w:pPr>
    </w:p>
    <w:p w:rsidR="00E8566F" w:rsidRDefault="00E856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8566F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66F" w:rsidRDefault="00E8566F">
      <w:pPr>
        <w:spacing w:after="0" w:line="240" w:lineRule="auto"/>
      </w:pPr>
      <w:r>
        <w:separator/>
      </w:r>
    </w:p>
  </w:endnote>
  <w:endnote w:type="continuationSeparator" w:id="0">
    <w:p w:rsidR="00E8566F" w:rsidRDefault="00E8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8566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96983">
            <w:rPr>
              <w:sz w:val="20"/>
              <w:szCs w:val="20"/>
            </w:rPr>
            <w:fldChar w:fldCharType="separate"/>
          </w:r>
          <w:r w:rsidR="00496983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96983">
            <w:rPr>
              <w:sz w:val="20"/>
              <w:szCs w:val="20"/>
            </w:rPr>
            <w:fldChar w:fldCharType="separate"/>
          </w:r>
          <w:r w:rsidR="00496983">
            <w:rPr>
              <w:noProof/>
              <w:sz w:val="20"/>
              <w:szCs w:val="20"/>
            </w:rPr>
            <w:t>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8566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66F" w:rsidRDefault="00E8566F">
      <w:pPr>
        <w:spacing w:after="0" w:line="240" w:lineRule="auto"/>
      </w:pPr>
      <w:r>
        <w:separator/>
      </w:r>
    </w:p>
  </w:footnote>
  <w:footnote w:type="continuationSeparator" w:id="0">
    <w:p w:rsidR="00E8566F" w:rsidRDefault="00E8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Департамента по охране, контролю и регулированию использования объектов животного мира Вологодской области от 20....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jc w:val="center"/>
          </w:pPr>
        </w:p>
        <w:p w:rsidR="00000000" w:rsidRDefault="00E8566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8566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28.12.2020</w:t>
          </w:r>
        </w:p>
      </w:tc>
    </w:tr>
  </w:tbl>
  <w:p w:rsidR="00000000" w:rsidRDefault="00E8566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8566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204A"/>
    <w:rsid w:val="0018204A"/>
    <w:rsid w:val="00496983"/>
    <w:rsid w:val="00E8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57906&amp;date=28.12.2020&amp;dst=100195&amp;fld=134" TargetMode="External"/><Relationship Id="rId18" Type="http://schemas.openxmlformats.org/officeDocument/2006/relationships/hyperlink" Target="https://login.consultant.ru/link/?req=doc&amp;base=RLAW095&amp;n=96260&amp;date=28.12.2020&amp;dst=100005&amp;fld=134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70349&amp;date=28.12.2020&amp;dst=100146&amp;fld=134" TargetMode="External"/><Relationship Id="rId17" Type="http://schemas.openxmlformats.org/officeDocument/2006/relationships/hyperlink" Target="https://login.consultant.ru/link/?req=doc&amp;base=RLAW095&amp;n=186626&amp;date=28.12.2020&amp;dst=100368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0241&amp;date=28.12.2020&amp;dst=100009&amp;f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95&amp;n=96260&amp;date=28.12.2020&amp;dst=100005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12334&amp;date=28.12.2020" TargetMode="External"/><Relationship Id="rId10" Type="http://schemas.openxmlformats.org/officeDocument/2006/relationships/hyperlink" Target="https://login.consultant.ru/link/?req=doc&amp;base=RLAW095&amp;n=76653&amp;date=28.12.2020&amp;dst=100005&amp;f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63895&amp;date=28.12.2020&amp;dst=100005&amp;fld=134" TargetMode="External"/><Relationship Id="rId14" Type="http://schemas.openxmlformats.org/officeDocument/2006/relationships/hyperlink" Target="https://login.consultant.ru/link/?req=doc&amp;base=LAW&amp;n=357906&amp;date=28.12.2020&amp;dst=100421&amp;fld=13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10078</Characters>
  <Application>Microsoft Office Word</Application>
  <DocSecurity>2</DocSecurity>
  <Lines>83</Lines>
  <Paragraphs>23</Paragraphs>
  <ScaleCrop>false</ScaleCrop>
  <Company>КонсультантПлюс Версия 4018.00.50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по охране, контролю и регулированию использования объектов животного мира Вологодской области от 20.08.2010 N 212(ред. от 16.10.2013)"Об утверждении норм допустимой добычи охотничьих ресурсов, в отношении которых не устанавливается лим</dc:title>
  <dc:creator>Kopchenko.MV</dc:creator>
  <cp:lastModifiedBy>Kopchenko.MV</cp:lastModifiedBy>
  <cp:revision>2</cp:revision>
  <dcterms:created xsi:type="dcterms:W3CDTF">2020-12-28T09:28:00Z</dcterms:created>
  <dcterms:modified xsi:type="dcterms:W3CDTF">2020-12-28T09:28:00Z</dcterms:modified>
</cp:coreProperties>
</file>