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0505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532E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Минприроды РФ от 12.11.2010 N 503</w:t>
            </w:r>
            <w:r>
              <w:rPr>
                <w:sz w:val="48"/>
                <w:szCs w:val="48"/>
              </w:rPr>
              <w:br/>
              <w:t>"Об утверждении Порядка установления на местности границ зон охраны охотничьих ресурсов"</w:t>
            </w:r>
            <w:r>
              <w:rPr>
                <w:sz w:val="48"/>
                <w:szCs w:val="48"/>
              </w:rPr>
              <w:br/>
              <w:t>(Зарегистрировано в Минюсте РФ 14.12.2010 N 19173)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532E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30.09.2019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53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532E3">
      <w:pPr>
        <w:pStyle w:val="ConsPlusNormal"/>
        <w:jc w:val="both"/>
        <w:outlineLvl w:val="0"/>
      </w:pPr>
    </w:p>
    <w:p w:rsidR="00000000" w:rsidRDefault="003532E3">
      <w:pPr>
        <w:pStyle w:val="ConsPlusNormal"/>
        <w:outlineLvl w:val="0"/>
      </w:pPr>
      <w:r>
        <w:t>Зарегистрировано в Минюсте РФ 14 декабря 2010 г. N 19173</w:t>
      </w:r>
    </w:p>
    <w:p w:rsidR="00000000" w:rsidRDefault="003532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532E3">
      <w:pPr>
        <w:pStyle w:val="ConsPlusNormal"/>
        <w:jc w:val="center"/>
      </w:pPr>
    </w:p>
    <w:p w:rsidR="00000000" w:rsidRDefault="003532E3">
      <w:pPr>
        <w:pStyle w:val="ConsPlusTitle"/>
        <w:jc w:val="center"/>
      </w:pPr>
      <w:r>
        <w:t>МИНИСТЕРСТВО ПРИРОДНЫХ РЕСУРСОВ И ЭКОЛОГИИ</w:t>
      </w:r>
    </w:p>
    <w:p w:rsidR="00000000" w:rsidRDefault="003532E3">
      <w:pPr>
        <w:pStyle w:val="ConsPlusTitle"/>
        <w:jc w:val="center"/>
      </w:pPr>
      <w:r>
        <w:t>РОССИЙСКОЙ ФЕДЕРАЦИИ</w:t>
      </w:r>
    </w:p>
    <w:p w:rsidR="00000000" w:rsidRDefault="003532E3">
      <w:pPr>
        <w:pStyle w:val="ConsPlusTitle"/>
        <w:jc w:val="center"/>
      </w:pPr>
    </w:p>
    <w:p w:rsidR="00000000" w:rsidRDefault="003532E3">
      <w:pPr>
        <w:pStyle w:val="ConsPlusTitle"/>
        <w:jc w:val="center"/>
      </w:pPr>
      <w:r>
        <w:t>ПРИКАЗ</w:t>
      </w:r>
    </w:p>
    <w:p w:rsidR="00000000" w:rsidRDefault="003532E3">
      <w:pPr>
        <w:pStyle w:val="ConsPlusTitle"/>
        <w:jc w:val="center"/>
      </w:pPr>
      <w:r>
        <w:t>от 12 ноября 2010 г. N 503</w:t>
      </w:r>
    </w:p>
    <w:p w:rsidR="00000000" w:rsidRDefault="003532E3">
      <w:pPr>
        <w:pStyle w:val="ConsPlusTitle"/>
        <w:jc w:val="center"/>
      </w:pPr>
    </w:p>
    <w:p w:rsidR="00000000" w:rsidRDefault="003532E3">
      <w:pPr>
        <w:pStyle w:val="ConsPlusTitle"/>
        <w:jc w:val="center"/>
      </w:pPr>
      <w:r>
        <w:t>ОБ УТВЕРЖДЕНИИ ПОРЯДКА</w:t>
      </w:r>
    </w:p>
    <w:p w:rsidR="00000000" w:rsidRDefault="003532E3">
      <w:pPr>
        <w:pStyle w:val="ConsPlusTitle"/>
        <w:jc w:val="center"/>
      </w:pPr>
      <w:r>
        <w:t>УСТАНОВЛЕНИЯ НА МЕСТНОСТИ ГРАНИЦ ЗОН ОХРАНЫ</w:t>
      </w:r>
    </w:p>
    <w:p w:rsidR="00000000" w:rsidRDefault="003532E3">
      <w:pPr>
        <w:pStyle w:val="ConsPlusTitle"/>
        <w:jc w:val="center"/>
      </w:pPr>
      <w:r>
        <w:t>ОХОТНИЧЬИХ РЕСУРСОВ</w:t>
      </w:r>
    </w:p>
    <w:p w:rsidR="00000000" w:rsidRDefault="003532E3">
      <w:pPr>
        <w:pStyle w:val="ConsPlusNormal"/>
        <w:jc w:val="center"/>
      </w:pPr>
    </w:p>
    <w:p w:rsidR="00000000" w:rsidRDefault="003532E3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статей 32</w:t>
        </w:r>
      </w:hyperlink>
      <w:r>
        <w:t xml:space="preserve"> и </w:t>
      </w:r>
      <w:hyperlink r:id="rId10" w:history="1">
        <w:r>
          <w:rPr>
            <w:color w:val="0000FF"/>
          </w:rPr>
          <w:t>51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</w:t>
      </w:r>
      <w:r>
        <w:t xml:space="preserve">кты Российской Федерации" (Собрание законодательства Российской Федерации, 2009, N 30, ст. 3735; N 52, ст. 6441, ст. 6450; 2010, N 23, ст. 2793) и в соответствии с </w:t>
      </w:r>
      <w:hyperlink r:id="rId11" w:history="1">
        <w:r>
          <w:rPr>
            <w:color w:val="0000FF"/>
          </w:rPr>
          <w:t>пунктом 5.2.51.5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</w:t>
      </w:r>
      <w:r>
        <w:t>т. 2581; N 42, ст. 4825; N 46, ст. 5337; 2009, N 3, ст. 378; N 6, ст. 738; N 33, ст. 4088; N 34, ст. 4192; N 49, ст. 5976; 2010, N 5, ст. 538; N 10, ст. 1094; N 14, ст. 1656; N 26, ст. 3350; N 31, ст. 4251, ст. 4268; N 38, ст. 4835), приказываю: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 xml:space="preserve">Утвердить </w:t>
      </w:r>
      <w:r>
        <w:t xml:space="preserve">прилагаемый </w:t>
      </w:r>
      <w:hyperlink w:anchor="Par28" w:tooltip="ПОРЯДОК" w:history="1">
        <w:r>
          <w:rPr>
            <w:color w:val="0000FF"/>
          </w:rPr>
          <w:t>Порядок</w:t>
        </w:r>
      </w:hyperlink>
      <w:r>
        <w:t xml:space="preserve"> установления на местности границ зон охраны охотничьих ресурсов.</w:t>
      </w:r>
    </w:p>
    <w:p w:rsidR="00000000" w:rsidRDefault="003532E3">
      <w:pPr>
        <w:pStyle w:val="ConsPlusNormal"/>
        <w:ind w:firstLine="540"/>
        <w:jc w:val="both"/>
      </w:pPr>
    </w:p>
    <w:p w:rsidR="00000000" w:rsidRDefault="003532E3">
      <w:pPr>
        <w:pStyle w:val="ConsPlusNormal"/>
        <w:jc w:val="right"/>
      </w:pPr>
      <w:r>
        <w:t>Министр</w:t>
      </w:r>
    </w:p>
    <w:p w:rsidR="00000000" w:rsidRDefault="003532E3">
      <w:pPr>
        <w:pStyle w:val="ConsPlusNormal"/>
        <w:jc w:val="right"/>
      </w:pPr>
      <w:r>
        <w:t>Ю.П.ТРУТНЕВ</w:t>
      </w:r>
    </w:p>
    <w:p w:rsidR="00000000" w:rsidRDefault="003532E3">
      <w:pPr>
        <w:pStyle w:val="ConsPlusNormal"/>
        <w:ind w:firstLine="540"/>
        <w:jc w:val="both"/>
      </w:pPr>
    </w:p>
    <w:p w:rsidR="00000000" w:rsidRDefault="003532E3">
      <w:pPr>
        <w:pStyle w:val="ConsPlusNormal"/>
        <w:ind w:firstLine="540"/>
        <w:jc w:val="both"/>
      </w:pPr>
    </w:p>
    <w:p w:rsidR="00000000" w:rsidRDefault="003532E3">
      <w:pPr>
        <w:pStyle w:val="ConsPlusNormal"/>
        <w:ind w:firstLine="540"/>
        <w:jc w:val="both"/>
      </w:pPr>
    </w:p>
    <w:p w:rsidR="00000000" w:rsidRDefault="003532E3">
      <w:pPr>
        <w:pStyle w:val="ConsPlusNormal"/>
        <w:ind w:firstLine="540"/>
        <w:jc w:val="both"/>
      </w:pPr>
    </w:p>
    <w:p w:rsidR="00000000" w:rsidRDefault="003532E3">
      <w:pPr>
        <w:pStyle w:val="ConsPlusNormal"/>
        <w:ind w:firstLine="540"/>
        <w:jc w:val="both"/>
      </w:pPr>
    </w:p>
    <w:p w:rsidR="00000000" w:rsidRDefault="003532E3">
      <w:pPr>
        <w:pStyle w:val="ConsPlusNormal"/>
        <w:jc w:val="right"/>
        <w:outlineLvl w:val="0"/>
      </w:pPr>
      <w:r>
        <w:t>Приложение</w:t>
      </w:r>
    </w:p>
    <w:p w:rsidR="00000000" w:rsidRDefault="003532E3">
      <w:pPr>
        <w:pStyle w:val="ConsPlusNormal"/>
        <w:jc w:val="right"/>
      </w:pPr>
      <w:r>
        <w:t>к Приказу Минприроды России</w:t>
      </w:r>
    </w:p>
    <w:p w:rsidR="00000000" w:rsidRDefault="003532E3">
      <w:pPr>
        <w:pStyle w:val="ConsPlusNormal"/>
        <w:jc w:val="right"/>
      </w:pPr>
      <w:r>
        <w:t>от 12 ноября 2010 г. N 503</w:t>
      </w:r>
    </w:p>
    <w:p w:rsidR="00000000" w:rsidRDefault="003532E3">
      <w:pPr>
        <w:pStyle w:val="ConsPlusNormal"/>
        <w:jc w:val="right"/>
      </w:pPr>
    </w:p>
    <w:p w:rsidR="00000000" w:rsidRDefault="003532E3">
      <w:pPr>
        <w:pStyle w:val="ConsPlusTitle"/>
        <w:jc w:val="center"/>
      </w:pPr>
      <w:bookmarkStart w:id="0" w:name="Par28"/>
      <w:bookmarkEnd w:id="0"/>
      <w:r>
        <w:t>ПОРЯДОК</w:t>
      </w:r>
    </w:p>
    <w:p w:rsidR="00000000" w:rsidRDefault="003532E3">
      <w:pPr>
        <w:pStyle w:val="ConsPlusTitle"/>
        <w:jc w:val="center"/>
      </w:pPr>
      <w:r>
        <w:t>УСТАНОВЛЕНИЯ НА МЕСТНОСТИ</w:t>
      </w:r>
      <w:r>
        <w:t xml:space="preserve"> ГРАНИЦ ЗОН ОХРАНЫ</w:t>
      </w:r>
    </w:p>
    <w:p w:rsidR="00000000" w:rsidRDefault="003532E3">
      <w:pPr>
        <w:pStyle w:val="ConsPlusTitle"/>
        <w:jc w:val="center"/>
      </w:pPr>
      <w:r>
        <w:t>ОХОТНИЧЬИХ РЕСУРСОВ</w:t>
      </w:r>
    </w:p>
    <w:p w:rsidR="00000000" w:rsidRDefault="003532E3">
      <w:pPr>
        <w:pStyle w:val="ConsPlusNormal"/>
        <w:ind w:firstLine="540"/>
        <w:jc w:val="both"/>
      </w:pPr>
    </w:p>
    <w:p w:rsidR="00000000" w:rsidRDefault="003532E3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</w:t>
      </w:r>
      <w:r>
        <w:t xml:space="preserve">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2793) (далее - Федеральный зако</w:t>
      </w:r>
      <w:r>
        <w:t xml:space="preserve">н "Об охоте") и определяет процедуру обозначения на местности границ зон </w:t>
      </w:r>
      <w:r>
        <w:lastRenderedPageBreak/>
        <w:t>охраны охотничьих ресурсов.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 xml:space="preserve">2. В целях сохранения охотничьих ресурсов в соответствии с Лесным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 создаются особо защитные участки лесов и другие зоны охраны охотничьих ресурсов, в которых их использование ограничивается &lt;*&gt;.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 xml:space="preserve">&lt;*&gt; </w:t>
      </w:r>
      <w:hyperlink r:id="rId14" w:history="1">
        <w:r>
          <w:rPr>
            <w:color w:val="0000FF"/>
          </w:rPr>
          <w:t>Часть 1 статьи 51</w:t>
        </w:r>
      </w:hyperlink>
      <w:r>
        <w:t xml:space="preserve"> Федерального закона "Об охоте".</w:t>
      </w:r>
    </w:p>
    <w:p w:rsidR="00000000" w:rsidRDefault="003532E3">
      <w:pPr>
        <w:pStyle w:val="ConsPlusNormal"/>
        <w:ind w:firstLine="540"/>
        <w:jc w:val="both"/>
      </w:pPr>
    </w:p>
    <w:p w:rsidR="00000000" w:rsidRDefault="003532E3">
      <w:pPr>
        <w:pStyle w:val="ConsPlusNormal"/>
        <w:ind w:firstLine="540"/>
        <w:jc w:val="both"/>
      </w:pPr>
      <w:bookmarkStart w:id="1" w:name="Par37"/>
      <w:bookmarkEnd w:id="1"/>
      <w:r>
        <w:t>3. Границы зоны охраны охотничьих ресурсов обозначаются на местности специальными информационными</w:t>
      </w:r>
      <w:r>
        <w:t xml:space="preserve"> знаками, на которых содержатся сведения о вводимых в целях защиты охотничьих ресурсов ограничениях охоты, названии охотничьего угодья (иной территории), где устанавливается зона охраны охотничьих ресурсов.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>4. На основных въездах (выездах) в зону охраны охотничьих ресурсов устанавливаются специальные информационные знаки, на которые дополнительно наносится схема границ зоны охраны охотничьих ресурсов.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 xml:space="preserve">5. Сведения, предусмотренные </w:t>
      </w:r>
      <w:hyperlink w:anchor="Par37" w:tooltip="3. Границы зоны охраны охотничьих ресурсов обозначаются на местности специальными информационными знаками, на которых содержатся сведения о вводимых в целях защиты охотничьих ресурсов ограничениях охоты, названии охотничьего угодья (иной территории), где устанавливается зона охраны охотничьих ресурсов." w:history="1">
        <w:r>
          <w:rPr>
            <w:color w:val="0000FF"/>
          </w:rPr>
          <w:t>пунктом 3</w:t>
        </w:r>
      </w:hyperlink>
      <w:r>
        <w:t xml:space="preserve"> настоящего Порядка, наносятся на специальный информационный знак печатными буквами черного цвета размером по высоте не менее 70 мм.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>6. Специальный информационный знак имеет прямоугольную форму размеро</w:t>
      </w:r>
      <w:r>
        <w:t>м не менее 40 x 60 см, изготавливается из листового металла (например, оцинкованной жести) и крепится к верхней части основания (столба) на расстоянии 180 см от поверхности земли.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>7. Специальный информационный знак покрывается специальной краской по металл</w:t>
      </w:r>
      <w:r>
        <w:t>у белого цвета, а основание (столб) окрашивается краской контрастных цветов в виде горизонтальных полос. Нижняя часть основания заглубляется в грунт (не менее 40 см).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>8. Специальные информационные знаки устанавливаются по периметру границ зоны охраны охотн</w:t>
      </w:r>
      <w:r>
        <w:t>ичьих ресурсов, на въездах (выездах) в зону охраны охотничьих ресурсов, в местах предполагаемого проезда (прохода) людей, а также внутри зон охраны охотничьих ресурсов.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>9. На территории закрепленных охотничьих угодий организация и выполнение работ по оснащ</w:t>
      </w:r>
      <w:r>
        <w:t>ению специальными информационными знаками осуществляется юридическим лицом, индивидуальным предпринимателем, заключившими охотхозяйственные соглашения, или у которых право долгосрочного пользования животным миром возникло на основании долгосрочных лицензий</w:t>
      </w:r>
      <w:r>
        <w:t xml:space="preserve"> на пользование животным миром в отношении охотничьих ресурсов до дня вступления в силу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"Об охоте".</w:t>
      </w:r>
    </w:p>
    <w:p w:rsidR="00000000" w:rsidRDefault="003532E3">
      <w:pPr>
        <w:pStyle w:val="ConsPlusNormal"/>
        <w:spacing w:before="240"/>
        <w:ind w:firstLine="540"/>
        <w:jc w:val="both"/>
      </w:pPr>
      <w:r>
        <w:t>10. На территории общедоступных охотничьих угод</w:t>
      </w:r>
      <w:r>
        <w:t>ий организация и выполнение работ по оснащению специальными информационными знаками осуществляется уполномоченным органом исполнительной власти субъекта Российской Федерации в области охоты и сохранения охотничьих ресурсов.</w:t>
      </w:r>
    </w:p>
    <w:p w:rsidR="00000000" w:rsidRDefault="003532E3">
      <w:pPr>
        <w:pStyle w:val="ConsPlusNormal"/>
        <w:ind w:firstLine="540"/>
        <w:jc w:val="both"/>
      </w:pPr>
    </w:p>
    <w:p w:rsidR="00000000" w:rsidRDefault="003532E3">
      <w:pPr>
        <w:pStyle w:val="ConsPlusNormal"/>
        <w:ind w:firstLine="540"/>
        <w:jc w:val="both"/>
      </w:pPr>
    </w:p>
    <w:p w:rsidR="003532E3" w:rsidRDefault="003532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532E3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2E3" w:rsidRDefault="003532E3" w:rsidP="007E7C05">
      <w:pPr>
        <w:spacing w:after="0" w:line="240" w:lineRule="auto"/>
      </w:pPr>
      <w:r>
        <w:separator/>
      </w:r>
    </w:p>
  </w:endnote>
  <w:endnote w:type="continuationSeparator" w:id="0">
    <w:p w:rsidR="003532E3" w:rsidRDefault="003532E3" w:rsidP="007E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32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2E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2E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2E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05055">
            <w:rPr>
              <w:sz w:val="20"/>
              <w:szCs w:val="20"/>
            </w:rPr>
            <w:fldChar w:fldCharType="separate"/>
          </w:r>
          <w:r w:rsidR="00E05055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05055">
            <w:rPr>
              <w:sz w:val="20"/>
              <w:szCs w:val="20"/>
            </w:rPr>
            <w:fldChar w:fldCharType="separate"/>
          </w:r>
          <w:r w:rsidR="00E05055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532E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2E3" w:rsidRDefault="003532E3" w:rsidP="007E7C05">
      <w:pPr>
        <w:spacing w:after="0" w:line="240" w:lineRule="auto"/>
      </w:pPr>
      <w:r>
        <w:separator/>
      </w:r>
    </w:p>
  </w:footnote>
  <w:footnote w:type="continuationSeparator" w:id="0">
    <w:p w:rsidR="003532E3" w:rsidRDefault="003532E3" w:rsidP="007E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2E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Минприроды РФ от 12.11.2010 N 503</w:t>
          </w:r>
          <w:r>
            <w:rPr>
              <w:sz w:val="16"/>
              <w:szCs w:val="16"/>
            </w:rPr>
            <w:br/>
            <w:t>"Об утверждении Порядка установления на местности границ зон охраны охотничьих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2E3">
          <w:pPr>
            <w:pStyle w:val="ConsPlusNormal"/>
            <w:jc w:val="center"/>
          </w:pPr>
        </w:p>
        <w:p w:rsidR="00000000" w:rsidRDefault="003532E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2E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</w:t>
          </w:r>
          <w:r>
            <w:rPr>
              <w:sz w:val="18"/>
              <w:szCs w:val="18"/>
            </w:rPr>
            <w:t xml:space="preserve">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30.09.2019</w:t>
          </w:r>
        </w:p>
      </w:tc>
    </w:tr>
  </w:tbl>
  <w:p w:rsidR="00000000" w:rsidRDefault="003532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532E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36956"/>
    <w:rsid w:val="00036956"/>
    <w:rsid w:val="003532E3"/>
    <w:rsid w:val="00E0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314924&amp;date=30.09.2019&amp;dst=100674&amp;f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30833&amp;date=30.09.2019&amp;dst=100508&amp;f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20360&amp;date=30.09.2019&amp;dst=10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30833&amp;date=30.09.2019" TargetMode="External"/><Relationship Id="rId10" Type="http://schemas.openxmlformats.org/officeDocument/2006/relationships/hyperlink" Target="https://login.consultant.ru/link/?req=doc&amp;base=LAW&amp;n=330833&amp;date=30.09.2019&amp;dst=100508&amp;f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30833&amp;date=30.09.2019&amp;dst=100332&amp;fld=134" TargetMode="External"/><Relationship Id="rId14" Type="http://schemas.openxmlformats.org/officeDocument/2006/relationships/hyperlink" Target="https://login.consultant.ru/link/?req=doc&amp;base=LAW&amp;n=330833&amp;date=30.09.2019&amp;dst=100507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4902</Characters>
  <Application>Microsoft Office Word</Application>
  <DocSecurity>2</DocSecurity>
  <Lines>40</Lines>
  <Paragraphs>11</Paragraphs>
  <ScaleCrop>false</ScaleCrop>
  <Company>КонсультантПлюс Версия 4018.00.50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РФ от 12.11.2010 N 503"Об утверждении Порядка установления на местности границ зон охраны охотничьих ресурсов"(Зарегистрировано в Минюсте РФ 14.12.2010 N 19173)</dc:title>
  <dc:creator>Kopchenko.MV</dc:creator>
  <cp:lastModifiedBy>Kopchenko.MV</cp:lastModifiedBy>
  <cp:revision>2</cp:revision>
  <dcterms:created xsi:type="dcterms:W3CDTF">2019-09-30T13:35:00Z</dcterms:created>
  <dcterms:modified xsi:type="dcterms:W3CDTF">2019-09-30T13:35:00Z</dcterms:modified>
</cp:coreProperties>
</file>